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6" w:rsidRPr="00CA65DD" w:rsidRDefault="00C26366" w:rsidP="00CA65D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Obecně závazná vyhláška obce Poběžovice u Holic</w:t>
      </w:r>
    </w:p>
    <w:p w:rsidR="00C26366" w:rsidRPr="00C4275B" w:rsidRDefault="00C26366" w:rsidP="00D3572A">
      <w:pPr>
        <w:autoSpaceDE w:val="0"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26366" w:rsidRDefault="00C26366" w:rsidP="00D3572A">
      <w:pPr>
        <w:autoSpaceDE w:val="0"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5281A">
        <w:rPr>
          <w:rFonts w:ascii="Arial" w:hAnsi="Arial" w:cs="Arial"/>
          <w:b/>
          <w:bCs/>
          <w:sz w:val="22"/>
          <w:szCs w:val="22"/>
        </w:rPr>
        <w:t>kterou se zakazuje spalování v</w:t>
      </w:r>
      <w:r>
        <w:rPr>
          <w:rFonts w:ascii="Arial" w:hAnsi="Arial" w:cs="Arial"/>
          <w:b/>
          <w:bCs/>
          <w:sz w:val="22"/>
          <w:szCs w:val="22"/>
        </w:rPr>
        <w:t>ybraných druhů pevných paliv ve </w:t>
      </w:r>
      <w:r w:rsidRPr="0085281A">
        <w:rPr>
          <w:rFonts w:ascii="Arial" w:hAnsi="Arial" w:cs="Arial"/>
          <w:b/>
          <w:bCs/>
          <w:sz w:val="22"/>
          <w:szCs w:val="22"/>
        </w:rPr>
        <w:t>stacionárních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85281A">
        <w:rPr>
          <w:rFonts w:ascii="Arial" w:hAnsi="Arial" w:cs="Arial"/>
          <w:b/>
          <w:bCs/>
          <w:sz w:val="22"/>
          <w:szCs w:val="22"/>
        </w:rPr>
        <w:t>zdrojích</w:t>
      </w:r>
    </w:p>
    <w:p w:rsidR="00C26366" w:rsidRPr="00C4275B" w:rsidRDefault="00C26366" w:rsidP="00D3572A">
      <w:pPr>
        <w:autoSpaceDE w:val="0"/>
        <w:autoSpaceDN w:val="0"/>
        <w:jc w:val="center"/>
        <w:rPr>
          <w:rFonts w:ascii="Arial" w:hAnsi="Arial" w:cs="Arial"/>
          <w:sz w:val="22"/>
          <w:szCs w:val="22"/>
        </w:rPr>
      </w:pPr>
    </w:p>
    <w:p w:rsidR="00C26366" w:rsidRPr="00D3572A" w:rsidRDefault="00C26366" w:rsidP="00D3572A">
      <w:pPr>
        <w:pStyle w:val="BodyText"/>
        <w:spacing w:after="360"/>
        <w:ind w:firstLine="540"/>
        <w:jc w:val="both"/>
        <w:rPr>
          <w:rFonts w:ascii="Arial" w:hAnsi="Arial" w:cs="Arial"/>
          <w:sz w:val="22"/>
          <w:szCs w:val="22"/>
        </w:rPr>
      </w:pPr>
      <w:r w:rsidRPr="00C4275B">
        <w:rPr>
          <w:rFonts w:ascii="Arial" w:hAnsi="Arial" w:cs="Arial"/>
          <w:sz w:val="22"/>
          <w:szCs w:val="22"/>
        </w:rPr>
        <w:t>Zastupitelstvo obce</w:t>
      </w:r>
      <w:r>
        <w:rPr>
          <w:rFonts w:ascii="Arial" w:hAnsi="Arial" w:cs="Arial"/>
          <w:sz w:val="22"/>
          <w:szCs w:val="22"/>
        </w:rPr>
        <w:t xml:space="preserve"> Poběžovice u Holic se na svém zasedání dne 25. 5. 2022 usnesením č. 3/5/2022 </w:t>
      </w:r>
      <w:r w:rsidRPr="00C4275B">
        <w:rPr>
          <w:rFonts w:ascii="Arial" w:hAnsi="Arial" w:cs="Arial"/>
          <w:sz w:val="22"/>
          <w:szCs w:val="22"/>
        </w:rPr>
        <w:t>usneslo vydat na</w:t>
      </w:r>
      <w:r>
        <w:rPr>
          <w:rFonts w:ascii="Arial" w:hAnsi="Arial" w:cs="Arial"/>
          <w:sz w:val="22"/>
          <w:szCs w:val="22"/>
        </w:rPr>
        <w:t> </w:t>
      </w:r>
      <w:r w:rsidRPr="00C4275B">
        <w:rPr>
          <w:rFonts w:ascii="Arial" w:hAnsi="Arial" w:cs="Arial"/>
          <w:sz w:val="22"/>
          <w:szCs w:val="22"/>
        </w:rPr>
        <w:t>základě § 1</w:t>
      </w:r>
      <w:r>
        <w:rPr>
          <w:rFonts w:ascii="Arial" w:hAnsi="Arial" w:cs="Arial"/>
          <w:sz w:val="22"/>
          <w:szCs w:val="22"/>
        </w:rPr>
        <w:t>7odst. 5</w:t>
      </w:r>
      <w:r w:rsidRPr="00C4275B">
        <w:rPr>
          <w:rFonts w:ascii="Arial" w:hAnsi="Arial" w:cs="Arial"/>
          <w:sz w:val="22"/>
          <w:szCs w:val="22"/>
        </w:rPr>
        <w:t xml:space="preserve">zákona </w:t>
      </w:r>
      <w:r>
        <w:rPr>
          <w:rFonts w:ascii="Arial" w:hAnsi="Arial" w:cs="Arial"/>
          <w:sz w:val="22"/>
          <w:szCs w:val="22"/>
        </w:rPr>
        <w:t>č. 201</w:t>
      </w:r>
      <w:r w:rsidRPr="00914D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2</w:t>
      </w:r>
      <w:r w:rsidRPr="00914D53">
        <w:rPr>
          <w:rFonts w:ascii="Arial" w:hAnsi="Arial" w:cs="Arial"/>
          <w:sz w:val="22"/>
          <w:szCs w:val="22"/>
        </w:rPr>
        <w:t xml:space="preserve"> Sb.</w:t>
      </w:r>
      <w:r>
        <w:rPr>
          <w:rFonts w:ascii="Arial" w:hAnsi="Arial" w:cs="Arial"/>
          <w:sz w:val="22"/>
          <w:szCs w:val="22"/>
        </w:rPr>
        <w:t>,</w:t>
      </w:r>
      <w:r w:rsidRPr="00914D53">
        <w:rPr>
          <w:rFonts w:ascii="Arial" w:hAnsi="Arial" w:cs="Arial"/>
          <w:sz w:val="22"/>
          <w:szCs w:val="22"/>
        </w:rPr>
        <w:t xml:space="preserve"> o ochraně </w:t>
      </w:r>
      <w:r>
        <w:rPr>
          <w:rFonts w:ascii="Arial" w:hAnsi="Arial" w:cs="Arial"/>
          <w:sz w:val="22"/>
          <w:szCs w:val="22"/>
        </w:rPr>
        <w:t xml:space="preserve">ovzduší, ve znění pozdějších předpisů (dále jen „zákon o ochraně ovzduší“), </w:t>
      </w:r>
      <w:r w:rsidRPr="00C4275B">
        <w:rPr>
          <w:rFonts w:ascii="Arial" w:hAnsi="Arial" w:cs="Arial"/>
          <w:sz w:val="22"/>
          <w:szCs w:val="22"/>
        </w:rPr>
        <w:t>a v souladu s 10 písm. d) a</w:t>
      </w:r>
      <w:r>
        <w:rPr>
          <w:rFonts w:ascii="Arial" w:hAnsi="Arial" w:cs="Arial"/>
          <w:sz w:val="22"/>
          <w:szCs w:val="22"/>
        </w:rPr>
        <w:t> </w:t>
      </w:r>
      <w:r w:rsidRPr="00C4275B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</w:t>
      </w:r>
      <w:r w:rsidRPr="00C4275B">
        <w:rPr>
          <w:rFonts w:ascii="Arial" w:hAnsi="Arial" w:cs="Arial"/>
          <w:sz w:val="22"/>
          <w:szCs w:val="22"/>
        </w:rPr>
        <w:t xml:space="preserve">84odst. </w:t>
      </w:r>
      <w:r>
        <w:rPr>
          <w:rFonts w:ascii="Arial" w:hAnsi="Arial" w:cs="Arial"/>
          <w:sz w:val="22"/>
          <w:szCs w:val="22"/>
        </w:rPr>
        <w:t>2 písmeno h) zákona č. 128/2000 </w:t>
      </w:r>
      <w:r w:rsidRPr="00C4275B">
        <w:rPr>
          <w:rFonts w:ascii="Arial" w:hAnsi="Arial" w:cs="Arial"/>
          <w:sz w:val="22"/>
          <w:szCs w:val="22"/>
        </w:rPr>
        <w:t>Sb., o</w:t>
      </w:r>
      <w:r>
        <w:rPr>
          <w:rFonts w:ascii="Arial" w:hAnsi="Arial" w:cs="Arial"/>
          <w:sz w:val="22"/>
          <w:szCs w:val="22"/>
        </w:rPr>
        <w:t> </w:t>
      </w:r>
      <w:r w:rsidRPr="00C4275B">
        <w:rPr>
          <w:rFonts w:ascii="Arial" w:hAnsi="Arial" w:cs="Arial"/>
          <w:sz w:val="22"/>
          <w:szCs w:val="22"/>
        </w:rPr>
        <w:t>obcích (obecní zřízení), ve znění pozdějších předpisů, tuto obecně závaznou vyhlášku:</w:t>
      </w:r>
    </w:p>
    <w:p w:rsidR="00C26366" w:rsidRPr="00C4275B" w:rsidRDefault="00C26366" w:rsidP="00D3572A">
      <w:pPr>
        <w:pStyle w:val="BodyText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C4275B">
        <w:rPr>
          <w:rFonts w:ascii="Arial" w:hAnsi="Arial" w:cs="Arial"/>
          <w:b/>
          <w:sz w:val="22"/>
          <w:szCs w:val="22"/>
        </w:rPr>
        <w:t xml:space="preserve">Čl. </w:t>
      </w:r>
      <w:r>
        <w:rPr>
          <w:rFonts w:ascii="Arial" w:hAnsi="Arial" w:cs="Arial"/>
          <w:b/>
          <w:sz w:val="22"/>
          <w:szCs w:val="22"/>
        </w:rPr>
        <w:t>1</w:t>
      </w:r>
    </w:p>
    <w:p w:rsidR="00C26366" w:rsidRPr="00C4275B" w:rsidRDefault="00C26366" w:rsidP="00D3572A">
      <w:pPr>
        <w:pStyle w:val="Body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Zá</w:t>
      </w:r>
      <w:r w:rsidRPr="001A71FE">
        <w:rPr>
          <w:rFonts w:ascii="Arial" w:hAnsi="Arial" w:cs="Arial"/>
          <w:b/>
          <w:sz w:val="22"/>
          <w:szCs w:val="22"/>
        </w:rPr>
        <w:t>kaz spalování vybraných druhů pevných paliv ve stacionárních zdrojích</w:t>
      </w:r>
    </w:p>
    <w:p w:rsidR="00C26366" w:rsidRDefault="00C26366" w:rsidP="00D3572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 Ve spalovacích stacionárních zdrojích </w:t>
      </w:r>
      <w:r w:rsidRPr="00E43A77">
        <w:rPr>
          <w:rFonts w:ascii="Arial" w:hAnsi="Arial" w:cs="Arial"/>
          <w:sz w:val="22"/>
          <w:szCs w:val="22"/>
        </w:rPr>
        <w:t>o jmenovitém tepelném příkonu 300 kW a</w:t>
      </w:r>
      <w:r>
        <w:rPr>
          <w:rFonts w:ascii="Arial" w:hAnsi="Arial" w:cs="Arial"/>
          <w:sz w:val="22"/>
          <w:szCs w:val="22"/>
        </w:rPr>
        <w:t> </w:t>
      </w:r>
      <w:r w:rsidRPr="00E43A77">
        <w:rPr>
          <w:rFonts w:ascii="Arial" w:hAnsi="Arial" w:cs="Arial"/>
          <w:sz w:val="22"/>
          <w:szCs w:val="22"/>
        </w:rPr>
        <w:t xml:space="preserve">nižším </w:t>
      </w:r>
      <w:r>
        <w:rPr>
          <w:rFonts w:ascii="Arial" w:hAnsi="Arial" w:cs="Arial"/>
          <w:sz w:val="22"/>
          <w:szCs w:val="22"/>
        </w:rPr>
        <w:t>se zakazuje spalování následujících druhů pevných paliv:</w:t>
      </w:r>
    </w:p>
    <w:p w:rsidR="00C26366" w:rsidRPr="00C747AD" w:rsidRDefault="00C26366" w:rsidP="00D3572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černé uhlí</w:t>
      </w:r>
    </w:p>
    <w:p w:rsidR="00C26366" w:rsidRPr="00C747AD" w:rsidRDefault="00C26366" w:rsidP="00D3572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hnědé uhlí</w:t>
      </w:r>
    </w:p>
    <w:p w:rsidR="00C26366" w:rsidRDefault="00C26366" w:rsidP="00D3572A">
      <w:pPr>
        <w:spacing w:after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hnědouhelné brikety</w:t>
      </w:r>
    </w:p>
    <w:p w:rsidR="00C26366" w:rsidRPr="0026450A" w:rsidRDefault="00C26366" w:rsidP="00D3572A">
      <w:pPr>
        <w:spacing w:after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(2) Zákaz spalování pevných paliv podle odstavce 1 se nevztahuje na spalovací stacionární</w:t>
      </w:r>
      <w:r w:rsidRPr="001A71FE">
        <w:rPr>
          <w:rFonts w:ascii="Arial" w:hAnsi="Arial" w:cs="Arial"/>
          <w:sz w:val="22"/>
          <w:szCs w:val="22"/>
        </w:rPr>
        <w:t xml:space="preserve"> zdroj</w:t>
      </w:r>
      <w:r>
        <w:rPr>
          <w:rFonts w:ascii="Arial" w:hAnsi="Arial" w:cs="Arial"/>
          <w:sz w:val="22"/>
          <w:szCs w:val="22"/>
        </w:rPr>
        <w:t>e,které</w:t>
      </w:r>
      <w:r w:rsidRPr="000364F3">
        <w:rPr>
          <w:rFonts w:ascii="Arial" w:hAnsi="Arial" w:cs="Arial"/>
          <w:sz w:val="22"/>
          <w:szCs w:val="22"/>
        </w:rPr>
        <w:t xml:space="preserve"> slouží jako zdroj</w:t>
      </w:r>
      <w:r>
        <w:rPr>
          <w:rFonts w:ascii="Arial" w:hAnsi="Arial" w:cs="Arial"/>
          <w:sz w:val="22"/>
          <w:szCs w:val="22"/>
        </w:rPr>
        <w:t>e</w:t>
      </w:r>
      <w:r w:rsidRPr="000364F3">
        <w:rPr>
          <w:rFonts w:ascii="Arial" w:hAnsi="Arial" w:cs="Arial"/>
          <w:sz w:val="22"/>
          <w:szCs w:val="22"/>
        </w:rPr>
        <w:t xml:space="preserve"> tepla pro teplovodní sous</w:t>
      </w:r>
      <w:r>
        <w:rPr>
          <w:rFonts w:ascii="Arial" w:hAnsi="Arial" w:cs="Arial"/>
          <w:sz w:val="22"/>
          <w:szCs w:val="22"/>
        </w:rPr>
        <w:t>tavu ústředního vytápění a které</w:t>
      </w:r>
      <w:r w:rsidRPr="000364F3">
        <w:rPr>
          <w:rFonts w:ascii="Arial" w:hAnsi="Arial" w:cs="Arial"/>
          <w:sz w:val="22"/>
          <w:szCs w:val="22"/>
        </w:rPr>
        <w:t xml:space="preserve"> ne</w:t>
      </w:r>
      <w:r>
        <w:rPr>
          <w:rFonts w:ascii="Arial" w:hAnsi="Arial" w:cs="Arial"/>
          <w:sz w:val="22"/>
          <w:szCs w:val="22"/>
        </w:rPr>
        <w:t>jsou</w:t>
      </w:r>
      <w:r w:rsidRPr="000364F3">
        <w:rPr>
          <w:rFonts w:ascii="Arial" w:hAnsi="Arial" w:cs="Arial"/>
          <w:sz w:val="22"/>
          <w:szCs w:val="22"/>
        </w:rPr>
        <w:t xml:space="preserve"> navržen</w:t>
      </w:r>
      <w:r>
        <w:rPr>
          <w:rFonts w:ascii="Arial" w:hAnsi="Arial" w:cs="Arial"/>
          <w:sz w:val="22"/>
          <w:szCs w:val="22"/>
        </w:rPr>
        <w:t>y</w:t>
      </w:r>
      <w:r w:rsidRPr="000364F3">
        <w:rPr>
          <w:rFonts w:ascii="Arial" w:hAnsi="Arial" w:cs="Arial"/>
          <w:sz w:val="22"/>
          <w:szCs w:val="22"/>
        </w:rPr>
        <w:t xml:space="preserve"> rovněž pro přímé vytápění místa instalace</w:t>
      </w:r>
      <w:r>
        <w:rPr>
          <w:rFonts w:ascii="Arial" w:hAnsi="Arial" w:cs="Arial"/>
          <w:sz w:val="22"/>
          <w:szCs w:val="22"/>
        </w:rPr>
        <w:t>, pokud splňují pro tato paliva požadavky stanovené v příloze č. 11 k zákonu o ochraně ovzduší.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</w:p>
    <w:p w:rsidR="00C26366" w:rsidRPr="00C4275B" w:rsidRDefault="00C26366" w:rsidP="00D3572A">
      <w:pPr>
        <w:pStyle w:val="BodyText"/>
        <w:tabs>
          <w:tab w:val="left" w:pos="540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C4275B">
        <w:rPr>
          <w:rFonts w:ascii="Arial" w:hAnsi="Arial" w:cs="Arial"/>
          <w:b/>
          <w:sz w:val="22"/>
          <w:szCs w:val="22"/>
        </w:rPr>
        <w:t xml:space="preserve">Čl. </w:t>
      </w:r>
      <w:r>
        <w:rPr>
          <w:rFonts w:ascii="Arial" w:hAnsi="Arial" w:cs="Arial"/>
          <w:b/>
          <w:sz w:val="22"/>
          <w:szCs w:val="22"/>
        </w:rPr>
        <w:t>2</w:t>
      </w:r>
    </w:p>
    <w:p w:rsidR="00C26366" w:rsidRPr="00C4275B" w:rsidRDefault="00C26366" w:rsidP="00D3572A">
      <w:pPr>
        <w:pStyle w:val="BodyText"/>
        <w:tabs>
          <w:tab w:val="left" w:pos="540"/>
        </w:tabs>
        <w:jc w:val="center"/>
        <w:rPr>
          <w:rFonts w:ascii="Arial" w:hAnsi="Arial" w:cs="Arial"/>
          <w:b/>
          <w:sz w:val="22"/>
          <w:szCs w:val="22"/>
        </w:rPr>
      </w:pPr>
      <w:r w:rsidRPr="00C4275B">
        <w:rPr>
          <w:rFonts w:ascii="Arial" w:hAnsi="Arial" w:cs="Arial"/>
          <w:b/>
          <w:sz w:val="22"/>
          <w:szCs w:val="22"/>
        </w:rPr>
        <w:t>Účinnost</w:t>
      </w:r>
    </w:p>
    <w:p w:rsidR="00C26366" w:rsidRPr="00E836B1" w:rsidRDefault="00C26366" w:rsidP="00D90316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D90316">
        <w:rPr>
          <w:rFonts w:ascii="Arial" w:hAnsi="Arial" w:cs="Arial"/>
          <w:sz w:val="22"/>
          <w:szCs w:val="22"/>
        </w:rPr>
        <w:t>Tato</w:t>
      </w:r>
      <w:r>
        <w:rPr>
          <w:rFonts w:ascii="Arial" w:hAnsi="Arial" w:cs="Arial"/>
          <w:sz w:val="22"/>
          <w:szCs w:val="22"/>
        </w:rPr>
        <w:t xml:space="preserve"> obecně závazná</w:t>
      </w:r>
      <w:r w:rsidRPr="00D90316">
        <w:rPr>
          <w:rFonts w:ascii="Arial" w:hAnsi="Arial" w:cs="Arial"/>
          <w:sz w:val="22"/>
          <w:szCs w:val="22"/>
        </w:rPr>
        <w:t xml:space="preserve"> vyhláška nabývá účinnosti počátkem patnáctého dne následujícího po dni jejího vyhlášení.</w:t>
      </w:r>
    </w:p>
    <w:p w:rsidR="00C26366" w:rsidRPr="00C4275B" w:rsidRDefault="00C26366" w:rsidP="00D3572A">
      <w:pPr>
        <w:autoSpaceDE w:val="0"/>
        <w:autoSpaceDN w:val="0"/>
        <w:spacing w:line="276" w:lineRule="auto"/>
        <w:rPr>
          <w:rFonts w:ascii="Arial" w:hAnsi="Arial" w:cs="Arial"/>
          <w:sz w:val="22"/>
          <w:szCs w:val="22"/>
        </w:rPr>
      </w:pPr>
    </w:p>
    <w:p w:rsidR="00C26366" w:rsidRPr="00C4275B" w:rsidRDefault="00C26366" w:rsidP="00D3572A">
      <w:pPr>
        <w:autoSpaceDE w:val="0"/>
        <w:autoSpaceDN w:val="0"/>
        <w:spacing w:line="276" w:lineRule="auto"/>
        <w:rPr>
          <w:rFonts w:ascii="Arial" w:hAnsi="Arial" w:cs="Arial"/>
          <w:sz w:val="22"/>
          <w:szCs w:val="22"/>
        </w:rPr>
      </w:pPr>
    </w:p>
    <w:p w:rsidR="00C26366" w:rsidRPr="00C4275B" w:rsidRDefault="00C26366" w:rsidP="00D3572A">
      <w:pPr>
        <w:pStyle w:val="BodyText"/>
        <w:tabs>
          <w:tab w:val="left" w:pos="697"/>
          <w:tab w:val="left" w:pos="7020"/>
        </w:tabs>
        <w:spacing w:after="0"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C26366" w:rsidRPr="00C4275B" w:rsidRDefault="00C26366" w:rsidP="00D3572A">
      <w:pPr>
        <w:pStyle w:val="BodyText"/>
        <w:tabs>
          <w:tab w:val="left" w:pos="6120"/>
        </w:tabs>
        <w:spacing w:after="0" w:line="276" w:lineRule="auto"/>
        <w:rPr>
          <w:rFonts w:ascii="Arial" w:hAnsi="Arial" w:cs="Arial"/>
          <w:sz w:val="22"/>
          <w:szCs w:val="22"/>
        </w:rPr>
      </w:pPr>
      <w:r w:rsidRPr="00C4275B">
        <w:rPr>
          <w:rFonts w:ascii="Arial" w:hAnsi="Arial" w:cs="Arial"/>
          <w:sz w:val="22"/>
          <w:szCs w:val="22"/>
        </w:rPr>
        <w:t xml:space="preserve">…………………… </w:t>
      </w:r>
      <w:r w:rsidRPr="00C4275B">
        <w:rPr>
          <w:rFonts w:ascii="Arial" w:hAnsi="Arial" w:cs="Arial"/>
          <w:sz w:val="22"/>
          <w:szCs w:val="22"/>
        </w:rPr>
        <w:tab/>
        <w:t>…………………………</w:t>
      </w:r>
    </w:p>
    <w:p w:rsidR="00C26366" w:rsidRPr="00C4275B" w:rsidRDefault="00C26366" w:rsidP="00D3572A">
      <w:pPr>
        <w:pStyle w:val="BodyText"/>
        <w:tabs>
          <w:tab w:val="left" w:pos="180"/>
          <w:tab w:val="left" w:pos="6480"/>
        </w:tabs>
        <w:spacing w:after="0" w:line="276" w:lineRule="auto"/>
        <w:rPr>
          <w:rFonts w:ascii="Arial" w:hAnsi="Arial" w:cs="Arial"/>
          <w:sz w:val="22"/>
          <w:szCs w:val="22"/>
        </w:rPr>
      </w:pPr>
      <w:r w:rsidRPr="00C4275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Sylva Holubová</w:t>
      </w:r>
      <w:r w:rsidRPr="00C4275B">
        <w:rPr>
          <w:rFonts w:ascii="Arial" w:hAnsi="Arial" w:cs="Arial"/>
          <w:sz w:val="22"/>
          <w:szCs w:val="22"/>
        </w:rPr>
        <w:t xml:space="preserve"> </w:t>
      </w:r>
      <w:r w:rsidRPr="00C4275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David Frodl, MBA</w:t>
      </w:r>
    </w:p>
    <w:p w:rsidR="00C26366" w:rsidRDefault="00C26366" w:rsidP="00D3572A">
      <w:pPr>
        <w:pStyle w:val="BodyText"/>
        <w:tabs>
          <w:tab w:val="left" w:pos="312"/>
          <w:tab w:val="left" w:pos="6974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místostarostka                                                                                      </w:t>
      </w:r>
      <w:r w:rsidRPr="00C4275B">
        <w:rPr>
          <w:rFonts w:ascii="Arial" w:hAnsi="Arial" w:cs="Arial"/>
          <w:sz w:val="22"/>
          <w:szCs w:val="22"/>
        </w:rPr>
        <w:t>starosta</w:t>
      </w:r>
    </w:p>
    <w:sectPr w:rsidR="00C26366" w:rsidSect="001A320A">
      <w:headerReference w:type="default" r:id="rId7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366" w:rsidRDefault="00C26366">
      <w:r>
        <w:separator/>
      </w:r>
    </w:p>
  </w:endnote>
  <w:endnote w:type="continuationSeparator" w:id="1">
    <w:p w:rsidR="00C26366" w:rsidRDefault="00C26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366" w:rsidRDefault="00C26366">
      <w:r>
        <w:separator/>
      </w:r>
    </w:p>
  </w:footnote>
  <w:footnote w:type="continuationSeparator" w:id="1">
    <w:p w:rsidR="00C26366" w:rsidRDefault="00C26366">
      <w:r>
        <w:continuationSeparator/>
      </w:r>
    </w:p>
  </w:footnote>
  <w:footnote w:id="2">
    <w:p w:rsidR="00C26366" w:rsidRDefault="00C26366">
      <w:pPr>
        <w:pStyle w:val="FootnoteText"/>
      </w:pPr>
      <w:r>
        <w:rPr>
          <w:rStyle w:val="FootnoteReference"/>
        </w:rPr>
        <w:footnoteRef/>
      </w:r>
      <w:r>
        <w:t xml:space="preserve"> § 17 odst. 1 písm. g) a § 17 odst. 5 zákona o ochraně ovzduší.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66" w:rsidRDefault="00C26366">
    <w:pPr>
      <w:pStyle w:val="Header"/>
    </w:pPr>
  </w:p>
  <w:p w:rsidR="00C26366" w:rsidRDefault="00C26366">
    <w:pPr>
      <w:pStyle w:val="Header"/>
    </w:pPr>
  </w:p>
  <w:p w:rsidR="00C26366" w:rsidRDefault="00C263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2B5F"/>
    <w:multiLevelType w:val="hybridMultilevel"/>
    <w:tmpl w:val="55A4D15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C032C8"/>
    <w:multiLevelType w:val="hybridMultilevel"/>
    <w:tmpl w:val="16342A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8CD7908"/>
    <w:multiLevelType w:val="hybridMultilevel"/>
    <w:tmpl w:val="828EEF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4E5F3C"/>
    <w:multiLevelType w:val="hybridMultilevel"/>
    <w:tmpl w:val="BE6CBD2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C43BCB"/>
    <w:multiLevelType w:val="hybridMultilevel"/>
    <w:tmpl w:val="5374DE1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3758A"/>
    <w:multiLevelType w:val="hybridMultilevel"/>
    <w:tmpl w:val="DE82DA88"/>
    <w:lvl w:ilvl="0" w:tplc="2806F4B8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7AC2C95"/>
    <w:multiLevelType w:val="hybridMultilevel"/>
    <w:tmpl w:val="194E117E"/>
    <w:lvl w:ilvl="0" w:tplc="1EA4BB5A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>
    <w:nsid w:val="5A037E27"/>
    <w:multiLevelType w:val="hybridMultilevel"/>
    <w:tmpl w:val="16BED1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C9F043D"/>
    <w:multiLevelType w:val="hybridMultilevel"/>
    <w:tmpl w:val="DE9C95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59423A1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2A625E"/>
    <w:multiLevelType w:val="hybridMultilevel"/>
    <w:tmpl w:val="D74ABD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4B115A"/>
    <w:multiLevelType w:val="hybridMultilevel"/>
    <w:tmpl w:val="5CA6C6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4B72D6"/>
    <w:multiLevelType w:val="hybridMultilevel"/>
    <w:tmpl w:val="E8E40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886F2C"/>
    <w:multiLevelType w:val="hybridMultilevel"/>
    <w:tmpl w:val="5CA6C6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EA02C5"/>
    <w:multiLevelType w:val="hybridMultilevel"/>
    <w:tmpl w:val="916C798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8"/>
  </w:num>
  <w:num w:numId="5">
    <w:abstractNumId w:val="7"/>
  </w:num>
  <w:num w:numId="6">
    <w:abstractNumId w:val="10"/>
  </w:num>
  <w:num w:numId="7">
    <w:abstractNumId w:val="4"/>
  </w:num>
  <w:num w:numId="8">
    <w:abstractNumId w:val="0"/>
  </w:num>
  <w:num w:numId="9">
    <w:abstractNumId w:val="9"/>
  </w:num>
  <w:num w:numId="10">
    <w:abstractNumId w:val="12"/>
  </w:num>
  <w:num w:numId="11">
    <w:abstractNumId w:val="3"/>
  </w:num>
  <w:num w:numId="12">
    <w:abstractNumId w:val="6"/>
  </w:num>
  <w:num w:numId="13">
    <w:abstractNumId w:val="11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DB2"/>
    <w:rsid w:val="000364F3"/>
    <w:rsid w:val="000452AD"/>
    <w:rsid w:val="000663D6"/>
    <w:rsid w:val="00091835"/>
    <w:rsid w:val="000974BF"/>
    <w:rsid w:val="000A2C52"/>
    <w:rsid w:val="000A340D"/>
    <w:rsid w:val="000B4D44"/>
    <w:rsid w:val="000E1B6F"/>
    <w:rsid w:val="000E5BA3"/>
    <w:rsid w:val="00137485"/>
    <w:rsid w:val="0016591C"/>
    <w:rsid w:val="001A2238"/>
    <w:rsid w:val="001A320A"/>
    <w:rsid w:val="001A71FE"/>
    <w:rsid w:val="001C6394"/>
    <w:rsid w:val="001D4DE1"/>
    <w:rsid w:val="0021589B"/>
    <w:rsid w:val="00237508"/>
    <w:rsid w:val="0024722A"/>
    <w:rsid w:val="00262AF7"/>
    <w:rsid w:val="0026450A"/>
    <w:rsid w:val="002B03EE"/>
    <w:rsid w:val="002B47F4"/>
    <w:rsid w:val="002D6B88"/>
    <w:rsid w:val="002F0E02"/>
    <w:rsid w:val="00301154"/>
    <w:rsid w:val="00312824"/>
    <w:rsid w:val="00344EAB"/>
    <w:rsid w:val="003C087B"/>
    <w:rsid w:val="003C2845"/>
    <w:rsid w:val="003D7F82"/>
    <w:rsid w:val="003E5CEF"/>
    <w:rsid w:val="003E62CC"/>
    <w:rsid w:val="0040046F"/>
    <w:rsid w:val="00401DE7"/>
    <w:rsid w:val="00414700"/>
    <w:rsid w:val="00496713"/>
    <w:rsid w:val="004B148F"/>
    <w:rsid w:val="004B5DD8"/>
    <w:rsid w:val="004E4A3A"/>
    <w:rsid w:val="00505E5B"/>
    <w:rsid w:val="00517527"/>
    <w:rsid w:val="00520405"/>
    <w:rsid w:val="0054110D"/>
    <w:rsid w:val="00544CC6"/>
    <w:rsid w:val="00563359"/>
    <w:rsid w:val="005A7741"/>
    <w:rsid w:val="005C12ED"/>
    <w:rsid w:val="005E0F19"/>
    <w:rsid w:val="005E1A87"/>
    <w:rsid w:val="005E7004"/>
    <w:rsid w:val="00641107"/>
    <w:rsid w:val="00651C3D"/>
    <w:rsid w:val="00674726"/>
    <w:rsid w:val="00683A54"/>
    <w:rsid w:val="00686CC9"/>
    <w:rsid w:val="006932FA"/>
    <w:rsid w:val="006B116E"/>
    <w:rsid w:val="007077E8"/>
    <w:rsid w:val="00724F06"/>
    <w:rsid w:val="00740152"/>
    <w:rsid w:val="00766873"/>
    <w:rsid w:val="00776376"/>
    <w:rsid w:val="007858F4"/>
    <w:rsid w:val="007A7B9E"/>
    <w:rsid w:val="007B0646"/>
    <w:rsid w:val="007E1064"/>
    <w:rsid w:val="007E1DB2"/>
    <w:rsid w:val="0085281A"/>
    <w:rsid w:val="008A1942"/>
    <w:rsid w:val="008D7BC6"/>
    <w:rsid w:val="00914D53"/>
    <w:rsid w:val="00925462"/>
    <w:rsid w:val="00936B2D"/>
    <w:rsid w:val="00946644"/>
    <w:rsid w:val="009776D9"/>
    <w:rsid w:val="009B01A3"/>
    <w:rsid w:val="00A66EE6"/>
    <w:rsid w:val="00AF1528"/>
    <w:rsid w:val="00B04ABF"/>
    <w:rsid w:val="00B17EB8"/>
    <w:rsid w:val="00B23674"/>
    <w:rsid w:val="00B2479F"/>
    <w:rsid w:val="00B27732"/>
    <w:rsid w:val="00BC6D34"/>
    <w:rsid w:val="00BE0661"/>
    <w:rsid w:val="00BF5076"/>
    <w:rsid w:val="00C26366"/>
    <w:rsid w:val="00C306F7"/>
    <w:rsid w:val="00C31C1A"/>
    <w:rsid w:val="00C4275B"/>
    <w:rsid w:val="00C513FA"/>
    <w:rsid w:val="00C747AD"/>
    <w:rsid w:val="00C81A34"/>
    <w:rsid w:val="00CA6247"/>
    <w:rsid w:val="00CA65DD"/>
    <w:rsid w:val="00CB325A"/>
    <w:rsid w:val="00CC3A7D"/>
    <w:rsid w:val="00D02B2D"/>
    <w:rsid w:val="00D3572A"/>
    <w:rsid w:val="00D87F4B"/>
    <w:rsid w:val="00D90316"/>
    <w:rsid w:val="00DA21D1"/>
    <w:rsid w:val="00DE3823"/>
    <w:rsid w:val="00DF7D7D"/>
    <w:rsid w:val="00E04A02"/>
    <w:rsid w:val="00E43A77"/>
    <w:rsid w:val="00E836B1"/>
    <w:rsid w:val="00EA000B"/>
    <w:rsid w:val="00EF502C"/>
    <w:rsid w:val="00F12D7E"/>
    <w:rsid w:val="00F2482A"/>
    <w:rsid w:val="00F318A5"/>
    <w:rsid w:val="00F37DC4"/>
    <w:rsid w:val="00F5260B"/>
    <w:rsid w:val="00FD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20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320A"/>
    <w:pPr>
      <w:keepNext/>
      <w:jc w:val="both"/>
      <w:outlineLvl w:val="1"/>
    </w:pPr>
    <w:rPr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27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1A320A"/>
    <w:pPr>
      <w:ind w:left="708" w:firstLine="357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A320A"/>
    <w:pPr>
      <w:ind w:left="708" w:firstLine="360"/>
      <w:jc w:val="both"/>
    </w:pPr>
    <w:rPr>
      <w:bCs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A320A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3A54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1A320A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A320A"/>
    <w:rPr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A320A"/>
    <w:rPr>
      <w:rFonts w:cs="Times New Roman"/>
      <w:vertAlign w:val="superscript"/>
    </w:rPr>
  </w:style>
  <w:style w:type="paragraph" w:customStyle="1" w:styleId="NormlnIMP">
    <w:name w:val="Normální_IMP"/>
    <w:basedOn w:val="Normal"/>
    <w:uiPriority w:val="99"/>
    <w:rsid w:val="001A320A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character" w:styleId="CommentReference">
    <w:name w:val="annotation reference"/>
    <w:basedOn w:val="DefaultParagraphFont"/>
    <w:uiPriority w:val="99"/>
    <w:semiHidden/>
    <w:rsid w:val="001A320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A3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A320A"/>
    <w:pPr>
      <w:widowControl w:val="0"/>
      <w:tabs>
        <w:tab w:val="num" w:pos="540"/>
      </w:tabs>
      <w:ind w:left="540" w:hanging="540"/>
      <w:jc w:val="both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A3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1A71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71FE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210</Words>
  <Characters>1241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obecně závazné vyhlášky obce o stanovení systému shromažďování, sběru, přepravy, třídění, využívání a odstraňování komuná</dc:title>
  <dc:subject/>
  <dc:creator>DA210036</dc:creator>
  <cp:keywords/>
  <dc:description/>
  <cp:lastModifiedBy>Acer1</cp:lastModifiedBy>
  <cp:revision>2</cp:revision>
  <cp:lastPrinted>2022-06-01T14:10:00Z</cp:lastPrinted>
  <dcterms:created xsi:type="dcterms:W3CDTF">2022-06-01T14:11:00Z</dcterms:created>
  <dcterms:modified xsi:type="dcterms:W3CDTF">2022-06-01T14:11:00Z</dcterms:modified>
</cp:coreProperties>
</file>